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52" w:rsidRDefault="00E32F52" w:rsidP="00E3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D95F78" w:rsidRPr="004B2C8C" w:rsidRDefault="00E32F52" w:rsidP="00E3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</w:t>
      </w:r>
      <w:r w:rsidR="004B2C8C">
        <w:rPr>
          <w:rFonts w:ascii="Times New Roman" w:hAnsi="Times New Roman" w:cs="Times New Roman"/>
          <w:b/>
          <w:sz w:val="28"/>
          <w:szCs w:val="28"/>
        </w:rPr>
        <w:t>проектировщики</w:t>
      </w:r>
      <w:r w:rsidRPr="00B620EE">
        <w:rPr>
          <w:rFonts w:ascii="Times New Roman" w:hAnsi="Times New Roman" w:cs="Times New Roman"/>
          <w:b/>
          <w:sz w:val="28"/>
          <w:szCs w:val="28"/>
        </w:rPr>
        <w:t>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85832">
        <w:rPr>
          <w:rFonts w:ascii="Times New Roman" w:hAnsi="Times New Roman" w:cs="Times New Roman"/>
          <w:b/>
          <w:sz w:val="28"/>
          <w:szCs w:val="28"/>
        </w:rPr>
        <w:t>202</w:t>
      </w:r>
      <w:r w:rsidR="0006185E">
        <w:rPr>
          <w:rFonts w:ascii="Times New Roman" w:hAnsi="Times New Roman" w:cs="Times New Roman"/>
          <w:b/>
          <w:sz w:val="28"/>
          <w:szCs w:val="28"/>
        </w:rPr>
        <w:t>4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sz w:val="28"/>
          <w:szCs w:val="28"/>
        </w:rPr>
        <w:t>проектировщики</w:t>
      </w:r>
      <w:r w:rsidRPr="00B620EE">
        <w:rPr>
          <w:rFonts w:ascii="Times New Roman" w:hAnsi="Times New Roman" w:cs="Times New Roman"/>
          <w:sz w:val="28"/>
          <w:szCs w:val="28"/>
        </w:rPr>
        <w:t>»</w:t>
      </w:r>
      <w:r w:rsidR="00013C6B">
        <w:rPr>
          <w:rFonts w:ascii="Times New Roman" w:hAnsi="Times New Roman" w:cs="Times New Roman"/>
          <w:sz w:val="28"/>
          <w:szCs w:val="28"/>
        </w:rPr>
        <w:t xml:space="preserve"> от 29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013C6B">
        <w:rPr>
          <w:rFonts w:ascii="Times New Roman" w:hAnsi="Times New Roman" w:cs="Times New Roman"/>
          <w:sz w:val="28"/>
          <w:szCs w:val="28"/>
        </w:rPr>
        <w:t>3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2D1E49">
        <w:rPr>
          <w:rFonts w:ascii="Times New Roman" w:hAnsi="Times New Roman" w:cs="Times New Roman"/>
          <w:sz w:val="28"/>
          <w:szCs w:val="28"/>
        </w:rPr>
        <w:t>201</w:t>
      </w:r>
      <w:r w:rsidR="00013C6B">
        <w:rPr>
          <w:rFonts w:ascii="Times New Roman" w:hAnsi="Times New Roman" w:cs="Times New Roman"/>
          <w:sz w:val="28"/>
          <w:szCs w:val="28"/>
        </w:rPr>
        <w:t>8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06185E" w:rsidRDefault="00785832" w:rsidP="0006185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06185E">
        <w:rPr>
          <w:rFonts w:ascii="Times New Roman" w:hAnsi="Times New Roman" w:cs="Times New Roman"/>
          <w:sz w:val="28"/>
          <w:szCs w:val="28"/>
        </w:rPr>
        <w:t>4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sz w:val="28"/>
          <w:szCs w:val="28"/>
        </w:rPr>
        <w:t>проектировщики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» </w:t>
      </w:r>
      <w:r w:rsidR="00D95F78">
        <w:rPr>
          <w:rFonts w:ascii="Times New Roman" w:hAnsi="Times New Roman" w:cs="Times New Roman"/>
          <w:sz w:val="28"/>
          <w:szCs w:val="28"/>
        </w:rPr>
        <w:t xml:space="preserve">было предоставлено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185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95F78"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5F78" w:rsidRPr="00B620EE">
        <w:rPr>
          <w:rFonts w:ascii="Times New Roman" w:hAnsi="Times New Roman" w:cs="Times New Roman"/>
          <w:sz w:val="28"/>
          <w:szCs w:val="28"/>
        </w:rPr>
        <w:t>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EE">
        <w:rPr>
          <w:rFonts w:ascii="Times New Roman" w:hAnsi="Times New Roman" w:cs="Times New Roman"/>
          <w:sz w:val="28"/>
          <w:szCs w:val="28"/>
        </w:rPr>
        <w:t xml:space="preserve">В ходе проведения анализа выяснилось,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20EE">
        <w:rPr>
          <w:rFonts w:ascii="Times New Roman" w:hAnsi="Times New Roman" w:cs="Times New Roman"/>
          <w:sz w:val="28"/>
          <w:szCs w:val="28"/>
        </w:rPr>
        <w:t xml:space="preserve">тоимость выполненных работ </w:t>
      </w:r>
      <w:r w:rsidR="001F16EE">
        <w:rPr>
          <w:rFonts w:ascii="Times New Roman" w:hAnsi="Times New Roman" w:cs="Times New Roman"/>
          <w:sz w:val="28"/>
          <w:szCs w:val="28"/>
        </w:rPr>
        <w:t xml:space="preserve">по </w:t>
      </w:r>
      <w:r w:rsidR="004B2C8C">
        <w:rPr>
          <w:rFonts w:ascii="Times New Roman" w:hAnsi="Times New Roman" w:cs="Times New Roman"/>
          <w:sz w:val="28"/>
          <w:szCs w:val="28"/>
        </w:rPr>
        <w:t>архитектурно-строительному 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832">
        <w:rPr>
          <w:rFonts w:ascii="Times New Roman" w:hAnsi="Times New Roman" w:cs="Times New Roman"/>
          <w:sz w:val="28"/>
          <w:szCs w:val="28"/>
        </w:rPr>
        <w:t>за 202</w:t>
      </w:r>
      <w:r w:rsidR="0006185E">
        <w:rPr>
          <w:rFonts w:ascii="Times New Roman" w:hAnsi="Times New Roman" w:cs="Times New Roman"/>
          <w:sz w:val="28"/>
          <w:szCs w:val="28"/>
        </w:rPr>
        <w:t>4</w:t>
      </w:r>
      <w:r w:rsidR="00AF603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около </w:t>
      </w:r>
      <w:r w:rsidR="0006185E" w:rsidRPr="0006185E">
        <w:rPr>
          <w:rFonts w:ascii="Times New Roman" w:hAnsi="Times New Roman" w:cs="Times New Roman"/>
          <w:sz w:val="28"/>
          <w:szCs w:val="28"/>
        </w:rPr>
        <w:t>164</w:t>
      </w:r>
      <w:r w:rsidR="0006185E">
        <w:rPr>
          <w:rFonts w:ascii="Times New Roman" w:hAnsi="Times New Roman" w:cs="Times New Roman"/>
          <w:sz w:val="28"/>
          <w:szCs w:val="28"/>
        </w:rPr>
        <w:t xml:space="preserve"> </w:t>
      </w:r>
      <w:r w:rsidR="0006185E" w:rsidRPr="0006185E">
        <w:rPr>
          <w:rFonts w:ascii="Times New Roman" w:hAnsi="Times New Roman" w:cs="Times New Roman"/>
          <w:sz w:val="28"/>
          <w:szCs w:val="28"/>
        </w:rPr>
        <w:t>808</w:t>
      </w:r>
      <w:r w:rsidR="0006185E">
        <w:rPr>
          <w:rFonts w:ascii="Times New Roman" w:hAnsi="Times New Roman" w:cs="Times New Roman"/>
          <w:sz w:val="28"/>
          <w:szCs w:val="28"/>
        </w:rPr>
        <w:t xml:space="preserve"> </w:t>
      </w:r>
      <w:r w:rsidR="0006185E" w:rsidRPr="0006185E">
        <w:rPr>
          <w:rFonts w:ascii="Times New Roman" w:hAnsi="Times New Roman" w:cs="Times New Roman"/>
          <w:sz w:val="28"/>
          <w:szCs w:val="28"/>
        </w:rPr>
        <w:t>376</w:t>
      </w:r>
      <w:r w:rsidR="0006185E">
        <w:rPr>
          <w:rFonts w:ascii="Times New Roman" w:hAnsi="Times New Roman" w:cs="Times New Roman"/>
          <w:sz w:val="28"/>
          <w:szCs w:val="28"/>
        </w:rPr>
        <w:t xml:space="preserve"> </w:t>
      </w:r>
      <w:r w:rsidR="0006185E" w:rsidRPr="0006185E">
        <w:rPr>
          <w:rFonts w:ascii="Times New Roman" w:hAnsi="Times New Roman" w:cs="Times New Roman"/>
          <w:sz w:val="28"/>
          <w:szCs w:val="28"/>
        </w:rPr>
        <w:t>544,85</w:t>
      </w:r>
      <w:r w:rsidR="0006185E">
        <w:rPr>
          <w:rFonts w:ascii="Times New Roman" w:hAnsi="Times New Roman" w:cs="Times New Roman"/>
          <w:sz w:val="28"/>
          <w:szCs w:val="28"/>
        </w:rPr>
        <w:t xml:space="preserve"> </w:t>
      </w:r>
      <w:r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</w:p>
    <w:p w:rsidR="00D95F78" w:rsidRPr="0007744D" w:rsidRDefault="00D95F78" w:rsidP="0007744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620EE">
        <w:rPr>
          <w:rFonts w:ascii="Times New Roman" w:hAnsi="Times New Roman" w:cs="Times New Roman"/>
          <w:sz w:val="28"/>
          <w:szCs w:val="28"/>
        </w:rPr>
        <w:t>исленность работников  в организациях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предпринимателях составила  </w:t>
      </w:r>
      <w:r w:rsidR="0006185E">
        <w:rPr>
          <w:rFonts w:ascii="Times New Roman" w:hAnsi="Times New Roman" w:cs="Times New Roman"/>
          <w:color w:val="000000" w:themeColor="text1"/>
          <w:sz w:val="28"/>
          <w:szCs w:val="28"/>
        </w:rPr>
        <w:t>24 831</w:t>
      </w:r>
      <w:r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(средн</w:t>
      </w:r>
      <w:r w:rsidR="00AF603C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AF603C">
        <w:rPr>
          <w:rFonts w:ascii="Times New Roman" w:hAnsi="Times New Roman" w:cs="Times New Roman"/>
          <w:sz w:val="28"/>
          <w:szCs w:val="28"/>
        </w:rPr>
        <w:t xml:space="preserve">работников на 1 Члена </w:t>
      </w:r>
      <w:r>
        <w:rPr>
          <w:rFonts w:ascii="Times New Roman" w:hAnsi="Times New Roman" w:cs="Times New Roman"/>
          <w:sz w:val="28"/>
          <w:szCs w:val="28"/>
        </w:rPr>
        <w:t>составляет примерно</w:t>
      </w:r>
      <w:r w:rsidR="001F16EE">
        <w:rPr>
          <w:rFonts w:ascii="Times New Roman" w:hAnsi="Times New Roman" w:cs="Times New Roman"/>
          <w:sz w:val="28"/>
          <w:szCs w:val="28"/>
        </w:rPr>
        <w:t xml:space="preserve"> </w:t>
      </w:r>
      <w:r w:rsidR="0006185E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наблюдается положительная тенденция к увеличению объемов выполненных работ по сравнению с 2</w:t>
      </w:r>
      <w:r w:rsidR="00E91AB8">
        <w:rPr>
          <w:rFonts w:ascii="Times New Roman" w:hAnsi="Times New Roman" w:cs="Times New Roman"/>
          <w:sz w:val="28"/>
          <w:szCs w:val="28"/>
        </w:rPr>
        <w:t>02</w:t>
      </w:r>
      <w:r w:rsidR="00061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2F52" w:rsidRDefault="00B44D1F" w:rsidP="00E32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06185E">
        <w:rPr>
          <w:rFonts w:ascii="Times New Roman" w:hAnsi="Times New Roman" w:cs="Times New Roman"/>
          <w:sz w:val="28"/>
          <w:szCs w:val="28"/>
        </w:rPr>
        <w:t>4</w:t>
      </w:r>
      <w:r w:rsidR="00E32F52"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2F52">
        <w:rPr>
          <w:rFonts w:ascii="Times New Roman" w:hAnsi="Times New Roman" w:cs="Times New Roman"/>
          <w:sz w:val="28"/>
          <w:szCs w:val="28"/>
        </w:rPr>
        <w:t xml:space="preserve"> отсутствует информация о привлечении Членов Союза «СРО «Краснодарские проектировщики» к административной ответственности за правонарушения, допущенные при осуществлении работ по подготовке проектной документации. </w:t>
      </w:r>
      <w:r w:rsidR="00665DCE">
        <w:rPr>
          <w:rFonts w:ascii="Times New Roman" w:hAnsi="Times New Roman" w:cs="Times New Roman"/>
          <w:sz w:val="28"/>
          <w:szCs w:val="28"/>
        </w:rPr>
        <w:t>Есть сведения</w:t>
      </w:r>
      <w:r w:rsidR="00E32F52">
        <w:rPr>
          <w:rFonts w:ascii="Times New Roman" w:hAnsi="Times New Roman" w:cs="Times New Roman"/>
          <w:sz w:val="28"/>
          <w:szCs w:val="28"/>
        </w:rPr>
        <w:t xml:space="preserve"> об участии в рассмотрении судебных гражданско-правовых споров в связи с деятельностью в области подготовки проектной документации.</w:t>
      </w:r>
    </w:p>
    <w:p w:rsidR="00E32F52" w:rsidRPr="005C3307" w:rsidRDefault="00E32F52" w:rsidP="00E32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Выплат</w:t>
      </w:r>
      <w:r w:rsidR="00665D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 страховании Членами Союза риска гражданской ответственности, которая может наступить в случае причинения вреда, не производилось.</w:t>
      </w:r>
    </w:p>
    <w:p w:rsidR="002D07A8" w:rsidRDefault="002D07A8" w:rsidP="00E32F52">
      <w:pPr>
        <w:rPr>
          <w:rFonts w:ascii="Times New Roman" w:hAnsi="Times New Roman" w:cs="Times New Roman"/>
          <w:b/>
          <w:sz w:val="28"/>
          <w:szCs w:val="28"/>
        </w:rPr>
      </w:pP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b/>
          <w:sz w:val="28"/>
          <w:szCs w:val="28"/>
        </w:rPr>
        <w:t>проектировщики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19B" w:rsidRDefault="001F16EE" w:rsidP="0094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5621FD" w:rsidRPr="005621FD">
        <w:rPr>
          <w:rFonts w:ascii="Times New Roman" w:hAnsi="Times New Roman" w:cs="Times New Roman"/>
          <w:b/>
          <w:sz w:val="28"/>
          <w:szCs w:val="28"/>
        </w:rPr>
        <w:t>7</w:t>
      </w:r>
      <w:r w:rsidR="002F5AD7">
        <w:rPr>
          <w:rFonts w:ascii="Times New Roman" w:hAnsi="Times New Roman" w:cs="Times New Roman"/>
          <w:b/>
          <w:sz w:val="28"/>
          <w:szCs w:val="28"/>
        </w:rPr>
        <w:t>г. - 202</w:t>
      </w:r>
      <w:r w:rsidR="0006185E">
        <w:rPr>
          <w:rFonts w:ascii="Times New Roman" w:hAnsi="Times New Roman" w:cs="Times New Roman"/>
          <w:b/>
          <w:sz w:val="28"/>
          <w:szCs w:val="28"/>
        </w:rPr>
        <w:t>4</w:t>
      </w:r>
      <w:r w:rsidR="00AF4FEC" w:rsidRPr="00D95F78">
        <w:rPr>
          <w:rFonts w:ascii="Times New Roman" w:hAnsi="Times New Roman" w:cs="Times New Roman"/>
          <w:b/>
          <w:sz w:val="28"/>
          <w:szCs w:val="28"/>
        </w:rPr>
        <w:t>г.</w:t>
      </w:r>
    </w:p>
    <w:p w:rsidR="0003519B" w:rsidRPr="009E0C33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E0C33">
        <w:rPr>
          <w:rFonts w:ascii="Times New Roman" w:hAnsi="Times New Roman" w:cs="Times New Roman"/>
          <w:sz w:val="32"/>
          <w:szCs w:val="32"/>
        </w:rPr>
        <w:t>Союза</w:t>
      </w:r>
      <w:r w:rsidRPr="009E0C33">
        <w:rPr>
          <w:rFonts w:ascii="Times New Roman" w:hAnsi="Times New Roman" w:cs="Times New Roman"/>
          <w:sz w:val="32"/>
          <w:szCs w:val="32"/>
        </w:rPr>
        <w:t xml:space="preserve"> «СРО «Краснодарские </w:t>
      </w:r>
      <w:r w:rsidR="00AA6A2D" w:rsidRPr="009E0C33">
        <w:rPr>
          <w:rFonts w:ascii="Times New Roman" w:hAnsi="Times New Roman" w:cs="Times New Roman"/>
          <w:sz w:val="32"/>
          <w:szCs w:val="32"/>
        </w:rPr>
        <w:t>проектировщики</w:t>
      </w:r>
      <w:r w:rsidRPr="009E0C33">
        <w:rPr>
          <w:rFonts w:ascii="Times New Roman" w:hAnsi="Times New Roman" w:cs="Times New Roman"/>
          <w:sz w:val="32"/>
          <w:szCs w:val="32"/>
        </w:rPr>
        <w:t>»</w:t>
      </w:r>
    </w:p>
    <w:p w:rsidR="0003519B" w:rsidRDefault="002D07A8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22764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06185E">
        <w:rPr>
          <w:rFonts w:ascii="Times New Roman" w:hAnsi="Times New Roman" w:cs="Times New Roman"/>
          <w:sz w:val="28"/>
          <w:szCs w:val="28"/>
        </w:rPr>
        <w:t>остается примерно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AD7">
        <w:rPr>
          <w:rFonts w:ascii="Times New Roman" w:hAnsi="Times New Roman" w:cs="Times New Roman"/>
          <w:sz w:val="28"/>
          <w:szCs w:val="28"/>
        </w:rPr>
        <w:t>202</w:t>
      </w:r>
      <w:r w:rsidR="0006185E">
        <w:rPr>
          <w:rFonts w:ascii="Times New Roman" w:hAnsi="Times New Roman" w:cs="Times New Roman"/>
          <w:sz w:val="28"/>
          <w:szCs w:val="28"/>
        </w:rPr>
        <w:t>3г.</w:t>
      </w:r>
      <w:r w:rsidR="00942685"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 w:rsidR="0006185E">
        <w:rPr>
          <w:rFonts w:ascii="Times New Roman" w:hAnsi="Times New Roman" w:cs="Times New Roman"/>
          <w:sz w:val="28"/>
          <w:szCs w:val="28"/>
        </w:rPr>
        <w:t xml:space="preserve">стабильности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</w:t>
      </w:r>
      <w:r w:rsidR="005621FD">
        <w:rPr>
          <w:rFonts w:ascii="Times New Roman" w:hAnsi="Times New Roman" w:cs="Times New Roman"/>
          <w:sz w:val="28"/>
          <w:szCs w:val="28"/>
        </w:rPr>
        <w:t>отрасли</w:t>
      </w:r>
      <w:r w:rsidR="002D07A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942685">
        <w:rPr>
          <w:rFonts w:ascii="Times New Roman" w:hAnsi="Times New Roman" w:cs="Times New Roman"/>
          <w:sz w:val="28"/>
          <w:szCs w:val="28"/>
        </w:rPr>
        <w:t>.</w:t>
      </w:r>
    </w:p>
    <w:p w:rsidR="00225065" w:rsidRPr="009E0C33" w:rsidRDefault="009D364F" w:rsidP="002461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E0C33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E0C33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E0C33">
        <w:rPr>
          <w:rFonts w:ascii="Times New Roman" w:hAnsi="Times New Roman" w:cs="Times New Roman"/>
          <w:sz w:val="32"/>
          <w:szCs w:val="32"/>
        </w:rPr>
        <w:t xml:space="preserve">по </w:t>
      </w:r>
      <w:r w:rsidR="00AA6A2D" w:rsidRPr="009E0C33">
        <w:rPr>
          <w:rFonts w:ascii="Times New Roman" w:hAnsi="Times New Roman" w:cs="Times New Roman"/>
          <w:sz w:val="32"/>
          <w:szCs w:val="32"/>
        </w:rPr>
        <w:t>архитектурно-строительному проектированию</w:t>
      </w:r>
    </w:p>
    <w:p w:rsidR="00913F40" w:rsidRDefault="0007744D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9100" cy="23241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61B7" w:rsidRDefault="00904314" w:rsidP="009E0C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</w:t>
      </w:r>
      <w:r w:rsidR="002F2483">
        <w:rPr>
          <w:rFonts w:ascii="Times New Roman" w:hAnsi="Times New Roman" w:cs="Times New Roman"/>
          <w:sz w:val="28"/>
          <w:szCs w:val="28"/>
        </w:rPr>
        <w:t>положительная</w:t>
      </w:r>
      <w:r w:rsidRPr="002461B7">
        <w:rPr>
          <w:rFonts w:ascii="Times New Roman" w:hAnsi="Times New Roman" w:cs="Times New Roman"/>
          <w:sz w:val="28"/>
          <w:szCs w:val="28"/>
        </w:rPr>
        <w:t xml:space="preserve"> тенденция к увеличению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</w:t>
      </w:r>
      <w:r w:rsidR="009E0C33">
        <w:rPr>
          <w:rFonts w:ascii="Times New Roman" w:hAnsi="Times New Roman" w:cs="Times New Roman"/>
          <w:sz w:val="28"/>
          <w:szCs w:val="28"/>
        </w:rPr>
        <w:t>архитектурно-строительному проектированию</w:t>
      </w:r>
      <w:r w:rsidR="002461B7">
        <w:rPr>
          <w:rFonts w:ascii="Times New Roman" w:hAnsi="Times New Roman" w:cs="Times New Roman"/>
          <w:sz w:val="28"/>
          <w:szCs w:val="28"/>
        </w:rPr>
        <w:t xml:space="preserve"> </w:t>
      </w:r>
      <w:r w:rsidR="00665DCE">
        <w:rPr>
          <w:rFonts w:ascii="Times New Roman" w:hAnsi="Times New Roman" w:cs="Times New Roman"/>
          <w:sz w:val="28"/>
          <w:szCs w:val="28"/>
        </w:rPr>
        <w:t>за 202</w:t>
      </w:r>
      <w:r w:rsidR="0006185E">
        <w:rPr>
          <w:rFonts w:ascii="Times New Roman" w:hAnsi="Times New Roman" w:cs="Times New Roman"/>
          <w:sz w:val="28"/>
          <w:szCs w:val="28"/>
        </w:rPr>
        <w:t>4</w:t>
      </w:r>
      <w:r w:rsidR="006A2A30">
        <w:rPr>
          <w:rFonts w:ascii="Times New Roman" w:hAnsi="Times New Roman" w:cs="Times New Roman"/>
          <w:sz w:val="28"/>
          <w:szCs w:val="28"/>
        </w:rPr>
        <w:t>г.</w:t>
      </w:r>
      <w:r w:rsidR="00AF603C">
        <w:rPr>
          <w:rFonts w:ascii="Times New Roman" w:hAnsi="Times New Roman" w:cs="Times New Roman"/>
          <w:sz w:val="28"/>
          <w:szCs w:val="28"/>
        </w:rPr>
        <w:t xml:space="preserve">, </w:t>
      </w:r>
      <w:r w:rsidR="00665DCE">
        <w:rPr>
          <w:rFonts w:ascii="Times New Roman" w:hAnsi="Times New Roman" w:cs="Times New Roman"/>
          <w:sz w:val="28"/>
          <w:szCs w:val="28"/>
        </w:rPr>
        <w:t>по сравнению с 202</w:t>
      </w:r>
      <w:r w:rsidR="0006185E">
        <w:rPr>
          <w:rFonts w:ascii="Times New Roman" w:hAnsi="Times New Roman" w:cs="Times New Roman"/>
          <w:sz w:val="28"/>
          <w:szCs w:val="28"/>
        </w:rPr>
        <w:t>3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E0C33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lastRenderedPageBreak/>
        <w:t>Динамика численности  работников</w:t>
      </w:r>
    </w:p>
    <w:p w:rsidR="00913F40" w:rsidRDefault="009E0C33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57650" cy="2324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2D07A8" w:rsidP="002D07A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01.07.2017г. 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закона от 03.07.2016 № 372-ФЗ "О 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</w:t>
      </w:r>
      <w:proofErr w:type="gramStart"/>
      <w:r w:rsidR="006A2A30" w:rsidRPr="006A2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2A30" w:rsidRPr="006A2A30">
        <w:rPr>
          <w:rFonts w:ascii="Times New Roman" w:hAnsi="Times New Roman" w:cs="Times New Roman"/>
          <w:sz w:val="28"/>
          <w:szCs w:val="28"/>
        </w:rPr>
        <w:t> Градостроительный </w:t>
      </w:r>
    </w:p>
    <w:p w:rsidR="006A2A30" w:rsidRDefault="006A2A30" w:rsidP="006A2A30">
      <w:p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30">
        <w:rPr>
          <w:rFonts w:ascii="Times New Roman" w:hAnsi="Times New Roman" w:cs="Times New Roman"/>
          <w:sz w:val="28"/>
          <w:szCs w:val="28"/>
        </w:rPr>
        <w:t>кодекс 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</w:t>
      </w:r>
      <w:r w:rsidR="005621FD">
        <w:rPr>
          <w:rFonts w:ascii="Times New Roman" w:hAnsi="Times New Roman" w:cs="Times New Roman"/>
          <w:sz w:val="28"/>
          <w:szCs w:val="28"/>
        </w:rPr>
        <w:t>ационный фонды возмещения вреда:</w:t>
      </w:r>
    </w:p>
    <w:p w:rsidR="00AF603C" w:rsidRDefault="00AF603C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25 млн. руб.) – </w:t>
      </w:r>
      <w:r w:rsidR="0006185E"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AF603C" w:rsidRDefault="002C5A3E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 млн. руб.) – </w:t>
      </w:r>
      <w:r w:rsidR="0006185E">
        <w:rPr>
          <w:rFonts w:ascii="Times New Roman" w:hAnsi="Times New Roman" w:cs="Times New Roman"/>
          <w:sz w:val="28"/>
          <w:szCs w:val="28"/>
        </w:rPr>
        <w:t>68</w:t>
      </w:r>
      <w:r w:rsidR="00AF603C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AF603C" w:rsidRDefault="00AF603C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(до 300 млн. руб.) – </w:t>
      </w:r>
      <w:r w:rsidR="00665DC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665DCE" w:rsidRDefault="00665DCE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уровень (свыше 300 млн. руб.) – </w:t>
      </w:r>
      <w:r w:rsidR="000618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AF603C" w:rsidRPr="005621FD" w:rsidRDefault="00AF603C" w:rsidP="005621FD">
      <w:pPr>
        <w:tabs>
          <w:tab w:val="left" w:pos="581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603C" w:rsidRDefault="00AF603C" w:rsidP="009E0C33">
      <w:pPr>
        <w:jc w:val="center"/>
      </w:pPr>
    </w:p>
    <w:p w:rsidR="00AF33B9" w:rsidRDefault="009E0C33" w:rsidP="009E0C33">
      <w:pPr>
        <w:jc w:val="center"/>
      </w:pPr>
      <w:r>
        <w:rPr>
          <w:noProof/>
          <w:lang w:eastAsia="ru-RU"/>
        </w:rPr>
        <w:drawing>
          <wp:inline distT="0" distB="0" distL="0" distR="0" wp14:anchorId="5EFBE98D" wp14:editId="013BB87E">
            <wp:extent cx="4533900" cy="25050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61B7" w:rsidRDefault="0006185E" w:rsidP="009E0C3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146</w:t>
      </w:r>
      <w:r w:rsidR="002F2483">
        <w:rPr>
          <w:rFonts w:ascii="Times New Roman" w:hAnsi="Times New Roman" w:cs="Times New Roman"/>
          <w:sz w:val="28"/>
          <w:szCs w:val="28"/>
        </w:rPr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174E8B"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AF603C">
        <w:rPr>
          <w:rFonts w:ascii="Times New Roman" w:hAnsi="Times New Roman" w:cs="Times New Roman"/>
          <w:sz w:val="28"/>
          <w:szCs w:val="28"/>
        </w:rPr>
        <w:t>, в том числе</w:t>
      </w:r>
      <w:r w:rsidR="00AF603C">
        <w:t>:</w:t>
      </w:r>
    </w:p>
    <w:p w:rsidR="00AF603C" w:rsidRPr="0006185E" w:rsidRDefault="00AF603C" w:rsidP="0006185E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25 млн. руб.) – </w:t>
      </w:r>
      <w:r w:rsidR="002A6A96">
        <w:rPr>
          <w:rFonts w:ascii="Times New Roman" w:hAnsi="Times New Roman" w:cs="Times New Roman"/>
          <w:sz w:val="28"/>
          <w:szCs w:val="28"/>
        </w:rPr>
        <w:t>11</w:t>
      </w:r>
      <w:r w:rsidR="0006185E">
        <w:rPr>
          <w:rFonts w:ascii="Times New Roman" w:hAnsi="Times New Roman" w:cs="Times New Roman"/>
          <w:sz w:val="28"/>
          <w:szCs w:val="28"/>
        </w:rPr>
        <w:t>3 организаций</w:t>
      </w:r>
    </w:p>
    <w:p w:rsidR="00AF603C" w:rsidRDefault="00AF603C" w:rsidP="00AF603C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 млн. руб.) – </w:t>
      </w:r>
      <w:r w:rsidR="0006185E">
        <w:rPr>
          <w:rFonts w:ascii="Times New Roman" w:hAnsi="Times New Roman" w:cs="Times New Roman"/>
          <w:sz w:val="28"/>
          <w:szCs w:val="28"/>
        </w:rPr>
        <w:t>25</w:t>
      </w:r>
      <w:r w:rsidR="002A6A96">
        <w:rPr>
          <w:rFonts w:ascii="Times New Roman" w:hAnsi="Times New Roman" w:cs="Times New Roman"/>
          <w:sz w:val="28"/>
          <w:szCs w:val="28"/>
        </w:rPr>
        <w:t xml:space="preserve"> организация</w:t>
      </w:r>
    </w:p>
    <w:p w:rsidR="00AF603C" w:rsidRDefault="00AF603C" w:rsidP="00AF603C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(до 300 млн. руб.) – </w:t>
      </w:r>
      <w:r w:rsidR="0006185E">
        <w:rPr>
          <w:rFonts w:ascii="Times New Roman" w:hAnsi="Times New Roman" w:cs="Times New Roman"/>
          <w:sz w:val="28"/>
          <w:szCs w:val="28"/>
        </w:rPr>
        <w:t>8</w:t>
      </w:r>
      <w:r w:rsidR="002A6A96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2D07A8" w:rsidRDefault="00174E8B" w:rsidP="009E0C3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619625" cy="26193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942685" w:rsidRDefault="00942685" w:rsidP="009E0C33">
      <w:pPr>
        <w:jc w:val="both"/>
        <w:rPr>
          <w:rFonts w:ascii="Times New Roman" w:hAnsi="Times New Roman" w:cs="Times New Roman"/>
          <w:sz w:val="28"/>
          <w:szCs w:val="28"/>
        </w:rPr>
      </w:pPr>
      <w:r w:rsidRPr="009E0C33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9E0C33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9E0C33">
        <w:rPr>
          <w:rFonts w:ascii="Times New Roman" w:hAnsi="Times New Roman" w:cs="Times New Roman"/>
          <w:sz w:val="28"/>
          <w:szCs w:val="28"/>
        </w:rPr>
        <w:t>Союза</w:t>
      </w:r>
      <w:r w:rsidR="0003519B" w:rsidRPr="009E0C33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9E0C33">
        <w:rPr>
          <w:rFonts w:ascii="Times New Roman" w:hAnsi="Times New Roman" w:cs="Times New Roman"/>
          <w:sz w:val="28"/>
          <w:szCs w:val="28"/>
        </w:rPr>
        <w:t xml:space="preserve">дарские </w:t>
      </w:r>
      <w:r w:rsidR="005621FD">
        <w:rPr>
          <w:rFonts w:ascii="Times New Roman" w:hAnsi="Times New Roman" w:cs="Times New Roman"/>
          <w:sz w:val="28"/>
          <w:szCs w:val="28"/>
        </w:rPr>
        <w:t>проектировщики</w:t>
      </w:r>
      <w:r w:rsidR="00753CFD" w:rsidRPr="009E0C33">
        <w:rPr>
          <w:rFonts w:ascii="Times New Roman" w:hAnsi="Times New Roman" w:cs="Times New Roman"/>
          <w:sz w:val="28"/>
          <w:szCs w:val="28"/>
        </w:rPr>
        <w:t xml:space="preserve">» являются в основном </w:t>
      </w:r>
      <w:r w:rsidR="00753CFD" w:rsidRPr="009E0C33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9E0C33">
        <w:rPr>
          <w:rFonts w:ascii="Times New Roman" w:hAnsi="Times New Roman" w:cs="Times New Roman"/>
          <w:sz w:val="28"/>
          <w:szCs w:val="28"/>
        </w:rPr>
        <w:t>.</w:t>
      </w:r>
    </w:p>
    <w:p w:rsidR="00D7107E" w:rsidRDefault="00D7107E" w:rsidP="009E0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03C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F603C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Данильченко И. С.</w:t>
      </w:r>
    </w:p>
    <w:p w:rsidR="00AF603C" w:rsidRPr="009E0C33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Союза «СРО «Краснодарские проектировщики</w:t>
      </w:r>
    </w:p>
    <w:p w:rsidR="002D07A8" w:rsidRDefault="002D07A8" w:rsidP="00AF33B9">
      <w:pPr>
        <w:rPr>
          <w:rFonts w:ascii="Times New Roman" w:hAnsi="Times New Roman" w:cs="Times New Roman"/>
          <w:sz w:val="32"/>
          <w:szCs w:val="32"/>
        </w:rPr>
      </w:pPr>
    </w:p>
    <w:sectPr w:rsidR="002D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EE" w:rsidRDefault="00583FEE" w:rsidP="00225065">
      <w:pPr>
        <w:spacing w:after="0" w:line="240" w:lineRule="auto"/>
      </w:pPr>
      <w:r>
        <w:separator/>
      </w:r>
    </w:p>
  </w:endnote>
  <w:endnote w:type="continuationSeparator" w:id="0">
    <w:p w:rsidR="00583FEE" w:rsidRDefault="00583FEE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EE" w:rsidRDefault="00583FEE" w:rsidP="00225065">
      <w:pPr>
        <w:spacing w:after="0" w:line="240" w:lineRule="auto"/>
      </w:pPr>
      <w:r>
        <w:separator/>
      </w:r>
    </w:p>
  </w:footnote>
  <w:footnote w:type="continuationSeparator" w:id="0">
    <w:p w:rsidR="00583FEE" w:rsidRDefault="00583FEE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1253A"/>
    <w:multiLevelType w:val="hybridMultilevel"/>
    <w:tmpl w:val="AAF28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9A2532"/>
    <w:multiLevelType w:val="hybridMultilevel"/>
    <w:tmpl w:val="376C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C6B"/>
    <w:rsid w:val="0003519B"/>
    <w:rsid w:val="0005779F"/>
    <w:rsid w:val="0006185E"/>
    <w:rsid w:val="0007744D"/>
    <w:rsid w:val="00141703"/>
    <w:rsid w:val="00174E8B"/>
    <w:rsid w:val="001F16EE"/>
    <w:rsid w:val="00225065"/>
    <w:rsid w:val="002461B7"/>
    <w:rsid w:val="002A6A96"/>
    <w:rsid w:val="002C306C"/>
    <w:rsid w:val="002C337A"/>
    <w:rsid w:val="002C5A3E"/>
    <w:rsid w:val="002D07A8"/>
    <w:rsid w:val="002D1E49"/>
    <w:rsid w:val="002F2483"/>
    <w:rsid w:val="002F5AD7"/>
    <w:rsid w:val="0033302A"/>
    <w:rsid w:val="003A62CA"/>
    <w:rsid w:val="003D3753"/>
    <w:rsid w:val="004465A9"/>
    <w:rsid w:val="0046533B"/>
    <w:rsid w:val="004670AF"/>
    <w:rsid w:val="004B2C8C"/>
    <w:rsid w:val="005621FD"/>
    <w:rsid w:val="00577544"/>
    <w:rsid w:val="00583FEE"/>
    <w:rsid w:val="005976AD"/>
    <w:rsid w:val="005D4F72"/>
    <w:rsid w:val="005D7800"/>
    <w:rsid w:val="005E6DB8"/>
    <w:rsid w:val="006365F1"/>
    <w:rsid w:val="00665DCE"/>
    <w:rsid w:val="0068783D"/>
    <w:rsid w:val="00692861"/>
    <w:rsid w:val="006A2A30"/>
    <w:rsid w:val="007064F2"/>
    <w:rsid w:val="00753CFD"/>
    <w:rsid w:val="00785832"/>
    <w:rsid w:val="008146D8"/>
    <w:rsid w:val="00904314"/>
    <w:rsid w:val="00913F40"/>
    <w:rsid w:val="00942685"/>
    <w:rsid w:val="009B3685"/>
    <w:rsid w:val="009D364F"/>
    <w:rsid w:val="009E0C33"/>
    <w:rsid w:val="00A468E3"/>
    <w:rsid w:val="00AA6A2D"/>
    <w:rsid w:val="00AF33B9"/>
    <w:rsid w:val="00AF4FEC"/>
    <w:rsid w:val="00AF603C"/>
    <w:rsid w:val="00B004F9"/>
    <w:rsid w:val="00B44D1F"/>
    <w:rsid w:val="00B74048"/>
    <w:rsid w:val="00C204F2"/>
    <w:rsid w:val="00CC4A59"/>
    <w:rsid w:val="00D17D98"/>
    <w:rsid w:val="00D3192D"/>
    <w:rsid w:val="00D7107E"/>
    <w:rsid w:val="00D95F78"/>
    <w:rsid w:val="00E05C67"/>
    <w:rsid w:val="00E32F52"/>
    <w:rsid w:val="00E6173F"/>
    <w:rsid w:val="00E91AB8"/>
    <w:rsid w:val="00F17659"/>
    <w:rsid w:val="00F37FCA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проектировщики"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2016 г.</c:v>
                </c:pt>
                <c:pt idx="1">
                  <c:v>2017 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  <c:pt idx="8">
                  <c:v>2024г.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155</c:v>
                </c:pt>
                <c:pt idx="1">
                  <c:v>175</c:v>
                </c:pt>
                <c:pt idx="2">
                  <c:v>259</c:v>
                </c:pt>
                <c:pt idx="3">
                  <c:v>284</c:v>
                </c:pt>
                <c:pt idx="4">
                  <c:v>307</c:v>
                </c:pt>
                <c:pt idx="5">
                  <c:v>324</c:v>
                </c:pt>
                <c:pt idx="6">
                  <c:v>342</c:v>
                </c:pt>
                <c:pt idx="7">
                  <c:v>337</c:v>
                </c:pt>
                <c:pt idx="8">
                  <c:v>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34304"/>
        <c:axId val="177235840"/>
      </c:barChart>
      <c:catAx>
        <c:axId val="177234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235840"/>
        <c:crosses val="autoZero"/>
        <c:auto val="1"/>
        <c:lblAlgn val="ctr"/>
        <c:lblOffset val="100"/>
        <c:noMultiLvlLbl val="0"/>
      </c:catAx>
      <c:valAx>
        <c:axId val="17723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234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архитектурно-строительному проектированию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  <c:pt idx="8">
                  <c:v>2024г.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4352</c:v>
                </c:pt>
                <c:pt idx="1">
                  <c:v>9743</c:v>
                </c:pt>
                <c:pt idx="2">
                  <c:v>4896</c:v>
                </c:pt>
                <c:pt idx="3">
                  <c:v>5660</c:v>
                </c:pt>
                <c:pt idx="4">
                  <c:v>6112</c:v>
                </c:pt>
                <c:pt idx="5">
                  <c:v>7235</c:v>
                </c:pt>
                <c:pt idx="6">
                  <c:v>8150</c:v>
                </c:pt>
                <c:pt idx="7">
                  <c:v>12654</c:v>
                </c:pt>
                <c:pt idx="8">
                  <c:v>16654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47360"/>
        <c:axId val="177248896"/>
      </c:barChart>
      <c:catAx>
        <c:axId val="17724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7248896"/>
        <c:crosses val="autoZero"/>
        <c:auto val="1"/>
        <c:lblAlgn val="ctr"/>
        <c:lblOffset val="100"/>
        <c:noMultiLvlLbl val="0"/>
      </c:catAx>
      <c:valAx>
        <c:axId val="17724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24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</a:t>
            </a:r>
            <a:r>
              <a:rPr lang="ru-RU" baseline="0"/>
              <a:t> работников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  <c:pt idx="8">
                  <c:v>2024г.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2100</c:v>
                </c:pt>
                <c:pt idx="1">
                  <c:v>2643</c:v>
                </c:pt>
                <c:pt idx="2">
                  <c:v>26108</c:v>
                </c:pt>
                <c:pt idx="3">
                  <c:v>28024</c:v>
                </c:pt>
                <c:pt idx="4">
                  <c:v>85031</c:v>
                </c:pt>
                <c:pt idx="5">
                  <c:v>31420</c:v>
                </c:pt>
                <c:pt idx="6">
                  <c:v>33698</c:v>
                </c:pt>
                <c:pt idx="7">
                  <c:v>27957</c:v>
                </c:pt>
                <c:pt idx="8">
                  <c:v>24832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7245184"/>
        <c:axId val="177963776"/>
        <c:axId val="177252544"/>
      </c:bar3DChart>
      <c:catAx>
        <c:axId val="17724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963776"/>
        <c:crosses val="autoZero"/>
        <c:auto val="1"/>
        <c:lblAlgn val="ctr"/>
        <c:lblOffset val="100"/>
        <c:noMultiLvlLbl val="0"/>
      </c:catAx>
      <c:valAx>
        <c:axId val="17796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245184"/>
        <c:crosses val="autoZero"/>
        <c:crossBetween val="between"/>
      </c:valAx>
      <c:serAx>
        <c:axId val="177252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779637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383039329392E-2"/>
          <c:y val="0.24227190351206099"/>
          <c:w val="0.92827354913969085"/>
          <c:h val="0.597979627546556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уровень (до 25 млн)</c:v>
                </c:pt>
                <c:pt idx="1">
                  <c:v>2 уровень (до 50 млн)</c:v>
                </c:pt>
                <c:pt idx="2">
                  <c:v>3 уровень (до 300 млн)</c:v>
                </c:pt>
                <c:pt idx="3">
                  <c:v>4 уровень (свыше 300 млн)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287</c:v>
                </c:pt>
                <c:pt idx="1">
                  <c:v>68</c:v>
                </c:pt>
                <c:pt idx="2">
                  <c:v>14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973120"/>
        <c:axId val="177974656"/>
        <c:axId val="0"/>
      </c:bar3DChart>
      <c:catAx>
        <c:axId val="177973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7974656"/>
        <c:crosses val="autoZero"/>
        <c:auto val="1"/>
        <c:lblAlgn val="ctr"/>
        <c:lblOffset val="100"/>
        <c:noMultiLvlLbl val="0"/>
      </c:catAx>
      <c:valAx>
        <c:axId val="17797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973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25 млн)</c:v>
                </c:pt>
                <c:pt idx="1">
                  <c:v>2 уровень (до 50 млн)</c:v>
                </c:pt>
                <c:pt idx="2">
                  <c:v>3 уровень (до 300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113</c:v>
                </c:pt>
                <c:pt idx="1">
                  <c:v>25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986944"/>
        <c:axId val="177226880"/>
        <c:axId val="0"/>
      </c:bar3DChart>
      <c:catAx>
        <c:axId val="177986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226880"/>
        <c:crosses val="autoZero"/>
        <c:auto val="1"/>
        <c:lblAlgn val="ctr"/>
        <c:lblOffset val="100"/>
        <c:noMultiLvlLbl val="0"/>
      </c:catAx>
      <c:valAx>
        <c:axId val="17722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986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2</cp:revision>
  <cp:lastPrinted>2024-08-05T06:36:00Z</cp:lastPrinted>
  <dcterms:created xsi:type="dcterms:W3CDTF">2025-05-21T08:14:00Z</dcterms:created>
  <dcterms:modified xsi:type="dcterms:W3CDTF">2025-05-21T08:14:00Z</dcterms:modified>
</cp:coreProperties>
</file>